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trHeight w:val="420" w:hRule="atLeast"/>
        </w:trPr>
        <w:tc>
          <w:tcPr>
            <w:gridSpan w:val="2"/>
          </w:tcPr>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Tool 5</w:t>
            </w:r>
          </w:p>
        </w:tc>
        <w:tc>
          <w:tcPr/>
          <w:p w:rsidR="00000000" w:rsidDel="00000000" w:rsidP="00000000" w:rsidRDefault="00000000" w:rsidRPr="00000000">
            <w:pPr>
              <w:contextualSpacing w:val="0"/>
              <w:rPr/>
            </w:pPr>
            <w:r w:rsidDel="00000000" w:rsidR="00000000" w:rsidRPr="00000000">
              <w:rPr>
                <w:rtl w:val="0"/>
              </w:rPr>
              <w:t xml:space="preserve">Institution fact sheet for IASE, CTE, DIET and BITE</w:t>
            </w:r>
          </w:p>
        </w:tc>
      </w:tr>
      <w:tr>
        <w:trPr>
          <w:trHeight w:val="200" w:hRule="atLeast"/>
        </w:trPr>
        <w:tc>
          <w:tcPr>
            <w:gridSpan w:val="4"/>
          </w:tcPr>
          <w:p w:rsidR="00000000" w:rsidDel="00000000" w:rsidP="00000000" w:rsidRDefault="00000000" w:rsidRPr="00000000">
            <w:pPr>
              <w:contextualSpacing w:val="0"/>
              <w:rPr/>
            </w:pPr>
            <w:r w:rsidDel="00000000" w:rsidR="00000000" w:rsidRPr="00000000">
              <w:rPr>
                <w:rtl w:val="0"/>
              </w:rPr>
              <w:t xml:space="preserve">Instructions Please ill up the basic information about the institution, with the help of interview of the institution head. </w:t>
            </w:r>
            <w:r w:rsidDel="00000000" w:rsidR="00000000" w:rsidRPr="00000000">
              <w:rPr>
                <w:rFonts w:ascii="Times New Roman" w:cs="Times New Roman" w:eastAsia="Times New Roman" w:hAnsi="Times New Roman"/>
                <w:rtl w:val="0"/>
              </w:rPr>
              <w:t xml:space="preserve">General (Data may available with CTE / DIET / BITE – In Annual work plan Document – 5 year trend)</w:t>
            </w:r>
            <w:r w:rsidDel="00000000" w:rsidR="00000000" w:rsidRPr="00000000">
              <w:rPr>
                <w:rtl w:val="0"/>
              </w:rPr>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Maharashtra </w:t>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Aurangabad</w:t>
            </w:r>
          </w:p>
        </w:tc>
      </w:tr>
      <w:tr>
        <w:trPr>
          <w:trHeight w:val="420" w:hRule="atLeast"/>
        </w:trP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Vaijapur</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Shrikant Kalokhe</w:t>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27/09/2017</w:t>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Respondent name</w:t>
            </w:r>
          </w:p>
        </w:tc>
        <w:tc>
          <w:tcPr/>
          <w:p w:rsidR="00000000" w:rsidDel="00000000" w:rsidP="00000000" w:rsidRDefault="00000000" w:rsidRPr="00000000">
            <w:pPr>
              <w:contextualSpacing w:val="0"/>
              <w:rPr/>
            </w:pPr>
            <w:r w:rsidDel="00000000" w:rsidR="00000000" w:rsidRPr="00000000">
              <w:rPr>
                <w:rtl w:val="0"/>
              </w:rPr>
              <w:t xml:space="preserve">Dr. Subhash Kamble</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Designation</w:t>
            </w:r>
          </w:p>
        </w:tc>
        <w:tc>
          <w:tcPr/>
          <w:p w:rsidR="00000000" w:rsidDel="00000000" w:rsidP="00000000" w:rsidRDefault="00000000" w:rsidRPr="00000000">
            <w:pPr>
              <w:contextualSpacing w:val="0"/>
              <w:rPr/>
            </w:pPr>
            <w:r w:rsidDel="00000000" w:rsidR="00000000" w:rsidRPr="00000000">
              <w:rPr>
                <w:rtl w:val="0"/>
              </w:rPr>
              <w:t xml:space="preserve">Principal</w:t>
            </w:r>
          </w:p>
        </w:tc>
      </w:tr>
    </w:tbl>
    <w:p w:rsidR="00000000" w:rsidDel="00000000" w:rsidP="00000000" w:rsidRDefault="00000000" w:rsidRPr="00000000">
      <w:pPr>
        <w:spacing w:after="12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was the institution established? Was it upgraded from some earlier institution?  What was its earlier form?</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Institution has established in 1996 then it was upgraded as the DIET now since 2016 it i</w:t>
      </w:r>
      <w:r w:rsidDel="00000000" w:rsidR="00000000" w:rsidRPr="00000000">
        <w:rPr>
          <w:rFonts w:ascii="Times New Roman" w:cs="Times New Roman" w:eastAsia="Times New Roman" w:hAnsi="Times New Roman"/>
          <w:rtl w:val="0"/>
        </w:rPr>
        <w:t xml:space="preserve">s referred as District Institute of Educational Continuous Professional Development(DIECPD) , district level training institute concerning with MSCERT ( Maharashtra Vidya Pradhikaran.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Structures (organogram)  toda</w:t>
      </w:r>
      <w:r w:rsidDel="00000000" w:rsidR="00000000" w:rsidRPr="00000000">
        <w:rPr>
          <w:rFonts w:ascii="Times New Roman" w:cs="Times New Roman" w:eastAsia="Times New Roman" w:hAnsi="Times New Roman"/>
          <w:rtl w:val="0"/>
        </w:rPr>
        <w:t xml:space="preserve">y-</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State government Institute affiliated with SCERT, Principal with the eight faculties and administrative staff..</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posts vacancy (note vacancies and transfers over the last five years)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vacancy we received now the proposed staff.</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academic posts (note vacancies and transfers over the last five years)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vacancies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service teacher training to support for the strengthening of the inservice teachers,  we are responsible for 100 percent outcome oriented work, Quality enhancement in teacher education, Pre Service teacher training  for D.El.Ed.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Yes,our focus has  changed our focus after the RTE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After RTE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focus has majorly changed from the merely teacher training institute to District Institute of Educational Continuous Professional Development(DIECPD) , district level training institute concerning with MSCERT ( Maharashtra Vidya Pradhikaran.</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major changes in structuring ,only functioning has changed.</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Collection of related Documents –Syllabus of ongoing courses (Pre-service) and Annual work plan/budget (if any)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12"/>
        </w:numPr>
        <w:spacing w:after="20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syllabus is on the SCERT website , and aor annual work plan has published in the booklet. </w:t>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activities of the DIET are currently taking place (as envisioned in the 2012 guidelines):</w:t>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
        <w:gridCol w:w="1009"/>
        <w:gridCol w:w="4242"/>
        <w:gridCol w:w="3341"/>
        <w:tblGridChange w:id="0">
          <w:tblGrid>
            <w:gridCol w:w="1968"/>
            <w:gridCol w:w="1009"/>
            <w:gridCol w:w="4242"/>
            <w:gridCol w:w="3341"/>
          </w:tblGrid>
        </w:tblGridChange>
      </w:tblGrid>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Has the DIET been conducting ISTE programs?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Master resource persons prepared, no.of courses designed, school follow up and documentation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given the every dat inthe hard copy published in the form of booklet.</w:t>
            </w:r>
          </w:p>
        </w:tc>
      </w:tr>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Has the DIET planned for direct school intervention and improvement?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interventions planned and What kind of interventions?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intervene regularly in many ways.</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DIET developed as a resource centre?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resources? How many? Who uses the resource centre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DIET organized forums?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conducted? How many participants were there? On what were the forums conducted?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many forums although  they are not properly defined but there are many fronts like subjectwise, techno savvy teachers forum, and many social media groups that we run to implement our work.</w:t>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DIET organized co-curricular activities?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On what? And for whom were these conducted?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DIET followed the staffing guidelines?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Does the DIET have a PAC?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is the composition as per suggested norms? How many times have they met? Are there any minutes of meetings? Collect if any?</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18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Are the infrastructure facilities at the DIET as per the guidelines? (use guidelines to expand and check against each)</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1"/>
              </w:numPr>
              <w:spacing w:after="0" w:lineRule="auto"/>
              <w:ind w:left="720" w:hanging="360"/>
              <w:contextualSpacing w:val="1"/>
              <w:rPr/>
            </w:pPr>
            <w:r w:rsidDel="00000000" w:rsidR="00000000" w:rsidRPr="00000000">
              <w:rPr>
                <w:rFonts w:ascii="Times New Roman" w:cs="Times New Roman" w:eastAsia="Times New Roman" w:hAnsi="Times New Roman"/>
                <w:rtl w:val="0"/>
              </w:rPr>
              <w:t xml:space="preserve">Classrooms </w:t>
            </w:r>
            <w:r w:rsidDel="00000000" w:rsidR="00000000" w:rsidRPr="00000000">
              <w:rPr>
                <w:rtl w:val="0"/>
              </w:rPr>
            </w:r>
          </w:p>
          <w:p w:rsidR="00000000" w:rsidDel="00000000" w:rsidP="00000000" w:rsidRDefault="00000000" w:rsidRPr="00000000">
            <w:pPr>
              <w:widowControl w:val="0"/>
              <w:numPr>
                <w:ilvl w:val="0"/>
                <w:numId w:val="11"/>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Seminar rooms</w:t>
            </w:r>
            <w:r w:rsidDel="00000000" w:rsidR="00000000" w:rsidRPr="00000000">
              <w:rPr>
                <w:rtl w:val="0"/>
              </w:rPr>
            </w:r>
          </w:p>
          <w:p w:rsidR="00000000" w:rsidDel="00000000" w:rsidP="00000000" w:rsidRDefault="00000000" w:rsidRPr="00000000">
            <w:pPr>
              <w:widowControl w:val="0"/>
              <w:numPr>
                <w:ilvl w:val="0"/>
                <w:numId w:val="11"/>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Special rooms</w:t>
            </w:r>
            <w:r w:rsidDel="00000000" w:rsidR="00000000" w:rsidRPr="00000000">
              <w:rPr>
                <w:rtl w:val="0"/>
              </w:rPr>
            </w:r>
          </w:p>
          <w:p w:rsidR="00000000" w:rsidDel="00000000" w:rsidP="00000000" w:rsidRDefault="00000000" w:rsidRPr="00000000">
            <w:pPr>
              <w:widowControl w:val="0"/>
              <w:numPr>
                <w:ilvl w:val="0"/>
                <w:numId w:val="11"/>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Staff rooms</w:t>
            </w:r>
            <w:r w:rsidDel="00000000" w:rsidR="00000000" w:rsidRPr="00000000">
              <w:rPr>
                <w:rtl w:val="0"/>
              </w:rPr>
            </w:r>
          </w:p>
          <w:p w:rsidR="00000000" w:rsidDel="00000000" w:rsidP="00000000" w:rsidRDefault="00000000" w:rsidRPr="00000000">
            <w:pPr>
              <w:widowControl w:val="0"/>
              <w:numPr>
                <w:ilvl w:val="0"/>
                <w:numId w:val="11"/>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Library</w:t>
            </w:r>
            <w:r w:rsidDel="00000000" w:rsidR="00000000" w:rsidRPr="00000000">
              <w:rPr>
                <w:rtl w:val="0"/>
              </w:rPr>
            </w:r>
          </w:p>
          <w:p w:rsidR="00000000" w:rsidDel="00000000" w:rsidP="00000000" w:rsidRDefault="00000000" w:rsidRPr="00000000">
            <w:pPr>
              <w:widowControl w:val="0"/>
              <w:numPr>
                <w:ilvl w:val="0"/>
                <w:numId w:val="11"/>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Hostels</w:t>
            </w:r>
            <w:r w:rsidDel="00000000" w:rsidR="00000000" w:rsidRPr="00000000">
              <w:rPr>
                <w:rtl w:val="0"/>
              </w:rPr>
            </w:r>
          </w:p>
          <w:p w:rsidR="00000000" w:rsidDel="00000000" w:rsidP="00000000" w:rsidRDefault="00000000" w:rsidRPr="00000000">
            <w:pPr>
              <w:widowControl w:val="0"/>
              <w:numPr>
                <w:ilvl w:val="0"/>
                <w:numId w:val="11"/>
              </w:numPr>
              <w:spacing w:before="0" w:lineRule="auto"/>
              <w:ind w:left="720" w:hanging="360"/>
              <w:contextualSpacing w:val="1"/>
              <w:rPr/>
            </w:pPr>
            <w:r w:rsidDel="00000000" w:rsidR="00000000" w:rsidRPr="00000000">
              <w:rPr>
                <w:rFonts w:ascii="Times New Roman" w:cs="Times New Roman" w:eastAsia="Times New Roman" w:hAnsi="Times New Roman"/>
                <w:rtl w:val="0"/>
              </w:rPr>
              <w:t xml:space="preserve">Canteen / Dining Hall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hostel, canteen, dining hall  are not in working condition </w:t>
            </w:r>
          </w:p>
        </w:tc>
      </w:tr>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DIET established systemic linkages with other institutions?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linkages/interactions with SSA, RMSA, CTE, SCERT, NGOs, Higher education institutions, others. What is the nature of / operational form of these linkages and meetings?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officially  connected with the other institutions.</w:t>
            </w:r>
          </w:p>
        </w:tc>
      </w:tr>
      <w:tr>
        <w:trPr>
          <w:trHeight w:val="13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Does the DIET conduct any programs/ activities for faculty development and capacity building?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 the last five years, topics, number of participants?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Is the DIET involved in research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of research covered</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publications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DIET prepared the perspective plan?</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it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DIET prepared its annual plans?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 DIET introduced any innovation in the role it plays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innovative programs? Who has funded them?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CTEs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Role as envisaged under 2012 CSSTE Guidelines </w:t>
      </w:r>
    </w:p>
    <w:tbl>
      <w:tblPr>
        <w:tblStyle w:val="Table3"/>
        <w:tblW w:w="103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930"/>
        <w:gridCol w:w="2550"/>
        <w:gridCol w:w="3178"/>
        <w:tblGridChange w:id="0">
          <w:tblGrid>
            <w:gridCol w:w="3690"/>
            <w:gridCol w:w="930"/>
            <w:gridCol w:w="2550"/>
            <w:gridCol w:w="3178"/>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details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1.Has the CTE played a role in development of excellence in secondary teacher education?</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analysis surveys for trainings conducted</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context specific handbooks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of detailed database on secondary schools and secondary school teachers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new CTEs been set up wherever a need was identified?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CTE developed collaboration with IASEs?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-Capacity development of CTEs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Capacity development for handling research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CTE developed collaborations with SCERT?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collaborations with other state agencies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 provided to the CTE’s PAC</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CTE used ICT effectively?</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-Adherence to NCFTE 2009 norms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institutional memory</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Development</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institutional links </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locally relevant teacher education modules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COPs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PSTE programme been implemented?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students have completed the PSTE?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Has the mandated process of tracking and monitoring been followed?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Does professional development of TEs form a part of the CTEs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ISTE program been implemented?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participants in 5 years?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Has the CTE provided extension and resource support to secondary schools?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What kind of support has been provided?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Has the CTE provided resource support to DIETs?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When? What support was provided?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CTE established linkages with other education institutions?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CTE undertaken research?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research studies? What were the topics? How were these disseminated or used?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material development taken place?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material? How many resources were used? Where is this material available?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Is the organisational structure and personnel as per the given norms?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Are the 1989 infrastructure guidelines followed?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Is the annual work plan prepared?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Are there annual reports prepared?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Does the CTE have a perspective plan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What innovations have been introduced by the CTE in its 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rtl w:val="0"/>
        </w:rPr>
        <w:t xml:space="preserve">Academic and non-academic posts vacant as of August/Sept 2017: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bl>
      <w:tblPr>
        <w:tblStyle w:val="Table4"/>
        <w:tblW w:w="10578.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6"/>
        <w:gridCol w:w="1294"/>
        <w:gridCol w:w="1331"/>
        <w:gridCol w:w="1786"/>
        <w:gridCol w:w="2150"/>
        <w:gridCol w:w="2741"/>
        <w:tblGridChange w:id="0">
          <w:tblGrid>
            <w:gridCol w:w="1276"/>
            <w:gridCol w:w="1294"/>
            <w:gridCol w:w="1331"/>
            <w:gridCol w:w="1786"/>
            <w:gridCol w:w="2150"/>
            <w:gridCol w:w="2741"/>
          </w:tblGrid>
        </w:tblGridChange>
      </w:tblGrid>
      <w:tr>
        <w:trPr>
          <w:trHeight w:val="660" w:hRule="atLeast"/>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filled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 Contractual</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Measures to deal with vacancies</w:t>
            </w:r>
          </w:p>
        </w:tc>
        <w:tc>
          <w:tcPr>
            <w:tcBorders>
              <w:top w:color="000000" w:space="0" w:sz="7" w:val="single"/>
              <w:left w:color="000000" w:space="0" w:sz="0" w:val="nil"/>
              <w:bottom w:color="000000" w:space="0" w:sz="7" w:val="single"/>
              <w:right w:color="000000" w:space="0" w:sz="7" w:val="single"/>
            </w:tcBorders>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Litigation for not filling up vacancies </w:t>
            </w:r>
          </w:p>
        </w:tc>
      </w:tr>
      <w:tr>
        <w:trPr>
          <w:trHeight w:val="4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required posts are filled in 2017</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r>
      <w:tr>
        <w:trPr>
          <w:trHeight w:val="3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r>
      <w:tr>
        <w:trPr>
          <w:trHeight w:val="3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Information  </w:t>
      </w:r>
    </w:p>
    <w:tbl>
      <w:tblPr>
        <w:tblStyle w:val="Table5"/>
        <w:tblW w:w="96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370"/>
        <w:gridCol w:w="3216"/>
        <w:tblGridChange w:id="0">
          <w:tblGrid>
            <w:gridCol w:w="1110"/>
            <w:gridCol w:w="5370"/>
            <w:gridCol w:w="3216"/>
          </w:tblGrid>
        </w:tblGridChange>
      </w:tblGrid>
      <w:tr>
        <w:trPr>
          <w:trHeight w:val="4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appointed head or acting head?</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 s</w:t>
            </w:r>
          </w:p>
        </w:tc>
      </w:tr>
      <w:tr>
        <w:trPr>
          <w:trHeight w:val="8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 senior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w:t>
            </w:r>
          </w:p>
        </w:tc>
      </w:tr>
      <w:tr>
        <w:trPr>
          <w:trHeight w:val="8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faculty-junior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w:t>
            </w:r>
          </w:p>
        </w:tc>
      </w:tr>
      <w:tr>
        <w:trPr>
          <w:trHeight w:val="88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fulfil the NCTE qualifications&gt;</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w:t>
            </w:r>
          </w:p>
        </w:tc>
      </w:tr>
      <w:tr>
        <w:trPr>
          <w:trHeight w:val="21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subject specialisations do faculty have?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 work experience art, physical education, education foundations including psychology and history.</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 English, Social sciences,education foundations, Psychology and History. No physical education teacher, </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 service programmes were conducted under the CSSTE scheme? -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6"/>
        <w:tblW w:w="10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inservice programmes were conducted under other schemes? (SSA/RMSA/other state funds)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7"/>
        <w:tblW w:w="10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Student Profile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8"/>
        <w:tblW w:w="10731.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3"/>
        <w:gridCol w:w="1533"/>
        <w:gridCol w:w="1533"/>
        <w:gridCol w:w="1533"/>
        <w:gridCol w:w="1533"/>
        <w:gridCol w:w="1533"/>
        <w:gridCol w:w="1533"/>
        <w:tblGridChange w:id="0">
          <w:tblGrid>
            <w:gridCol w:w="1533"/>
            <w:gridCol w:w="1533"/>
            <w:gridCol w:w="1533"/>
            <w:gridCol w:w="1533"/>
            <w:gridCol w:w="1533"/>
            <w:gridCol w:w="1533"/>
            <w:gridCol w:w="1533"/>
          </w:tblGrid>
        </w:tblGridChange>
      </w:tblGrid>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Girls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SC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 from under Rs. 1 lakh annual family income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details</w:t>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11.   </w:t>
      </w:r>
      <w:r w:rsidDel="00000000" w:rsidR="00000000" w:rsidRPr="00000000">
        <w:rPr>
          <w:rFonts w:ascii="Times New Roman" w:cs="Times New Roman" w:eastAsia="Times New Roman" w:hAnsi="Times New Roman"/>
          <w:rtl w:val="0"/>
        </w:rPr>
        <w:t xml:space="preserve">Funds received and utilized by DIET/CTE/BITE Under the CSSTE scheme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9"/>
        <w:tblW w:w="11401.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proposed (in Lakhs) </w:t>
            </w:r>
          </w:p>
        </w:tc>
        <w:tc>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sanctioned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received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there was any additional (apart from what was received from the Centre as per guidelines) source of funding please mention </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were the other sources from which funds were received?  (please include also funds raised by the institution locally.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10"/>
        <w:tblW w:w="11401.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w:t>
            </w:r>
          </w:p>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scheme </w:t>
            </w:r>
          </w:p>
        </w:tc>
        <w:tc>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headerReference r:id="rId5" w:type="default"/>
      <w:pgSz w:h="16840" w:w="11907"/>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